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7A7A2804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>Runway End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 Light 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1D29C5D4" w:rsidR="00082092" w:rsidRPr="00190DA3" w:rsidRDefault="00EA5B49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</w:t>
            </w:r>
            <w:r w:rsidR="001B0E41" w:rsidRPr="001B0E41">
              <w:rPr>
                <w:rFonts w:ascii="Roboto Light" w:eastAsia="Times New Roman" w:hAnsi="Roboto Light"/>
                <w:sz w:val="18"/>
                <w:szCs w:val="18"/>
              </w:rPr>
              <w:t>idirectional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3387D02B" w:rsidR="00190DA3" w:rsidRPr="00190DA3" w:rsidRDefault="00DB0E0D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138AD35A" w14:textId="77777777" w:rsidR="00985785" w:rsidRDefault="00985785" w:rsidP="00985785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4FDAE4F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B8E6CDD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41F3164E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5AB74C5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3DAB7984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76618F85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17CBE7F7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048EB1F2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714D41C4" w14:textId="77777777" w:rsidR="00985785" w:rsidRDefault="00985785" w:rsidP="0098578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BE0E687" w14:textId="77777777" w:rsidR="00985785" w:rsidRDefault="00985785" w:rsidP="0098578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3DF8994B" w14:textId="77777777" w:rsidR="00985785" w:rsidRDefault="00985785" w:rsidP="0098578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051D9A55" w14:textId="77777777" w:rsidR="00985785" w:rsidRDefault="00985785" w:rsidP="0098578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5BB65850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7D66E00F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6EAE87F9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38A34448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6A7F5C7D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330C1B8D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7289B887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2878F7C0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43C5390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0295E78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E19D96A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0B69DB6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08CD2E0E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426C87E2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58A5B6CD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6862BE2C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2F2686CF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740E9175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6DEF22AC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0A12135A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727D28B4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68F6665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065804D7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79BE5EE7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74BC9F8" w14:textId="77777777" w:rsidR="00985785" w:rsidRDefault="00985785" w:rsidP="00985785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518FE0EC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17B48F8F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04F421EA" w14:textId="77777777" w:rsidR="00985785" w:rsidRDefault="00985785" w:rsidP="00985785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24C5D3FE" w14:textId="77777777" w:rsidR="00985785" w:rsidRDefault="00985785" w:rsidP="00985785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46283C6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62662E3A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508451C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294FF513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7B79B2B0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06C91382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6AFE289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367CB79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2FF5B7CD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098FAF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07E0476C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220B97A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7C7847FC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2D6E7BCB" w:rsidR="00B077AB" w:rsidRPr="00D64834" w:rsidRDefault="00985785" w:rsidP="009857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AF6DC0E" w14:textId="1E46D290" w:rsidR="004C7A63" w:rsidRDefault="00DB0E0D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proofErr w:type="gramStart"/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</w:t>
      </w:r>
      <w:proofErr w:type="gramEnd"/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280 candela (cd)</w:t>
      </w: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44C13B7C" w14:textId="77777777" w:rsidR="00DB0E0D" w:rsidRDefault="00DB0E0D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53E29C5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intensity and color shall undergo third-party testing and certification by Intertek or Bureau Veritas or STAC or TUV Rheinland, or CAA.</w:t>
      </w:r>
    </w:p>
    <w:p w14:paraId="3794487D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EADB48F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78F4A0EC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BCE68CE" w14:textId="77777777" w:rsidR="00985785" w:rsidRDefault="00985785" w:rsidP="0098578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18979668" w14:textId="77777777" w:rsidR="00985785" w:rsidRDefault="00985785" w:rsidP="0098578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A71D905" w14:textId="77777777" w:rsidR="00985785" w:rsidRDefault="00985785" w:rsidP="00985785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4C9F41FF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14B3C1C9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F1DEFF2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4A8AEC08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two batteries; each battery shall have a minimum power capacity of 108 Wh. Total capacity of batteries shall not be less than 216 Wh,</w:t>
      </w:r>
    </w:p>
    <w:p w14:paraId="4E8DD5EF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3255024C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of one of the following types: Valve-Regulated Lead-Acid (VRLA), Lead-Acid Cyclon, Lithium-Ion (Li-ion), or Lithium Iron Phosphate (LiFePO4),</w:t>
      </w:r>
    </w:p>
    <w:p w14:paraId="0245FA99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replaceable. Replacement shall require no special tools and shall take no longer than 15 minutes per light,</w:t>
      </w:r>
    </w:p>
    <w:p w14:paraId="51AB8304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3BCE1C94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6D2B285D" w14:textId="77777777" w:rsidR="00985785" w:rsidRDefault="00985785" w:rsidP="0098578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2BB86662" w:rsidR="0025463D" w:rsidRDefault="00985785" w:rsidP="009857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B9EB7E1" w:rsidR="0025463D" w:rsidRPr="00D64834" w:rsidRDefault="004D0BD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540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2EA0644B" w:rsidR="0025463D" w:rsidRPr="00DD530E" w:rsidRDefault="004D0BD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1020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4C9CCEDC" w:rsidR="0025463D" w:rsidRPr="00DD530E" w:rsidRDefault="004D0BD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720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 Cyclon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63B2A4E6" w:rsidR="0025463D" w:rsidRPr="00DD530E" w:rsidRDefault="004D0BD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</w:t>
            </w:r>
            <w:r w:rsidR="0025463D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3C28422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5853BE7A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FBF3C0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066E3C4D" w14:textId="77777777" w:rsidR="00985785" w:rsidRDefault="00985785" w:rsidP="0098578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4E0BF717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C131222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2AB87F4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498B812B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7E72D2F" w14:textId="77777777" w:rsidR="00985785" w:rsidRDefault="00985785" w:rsidP="0098578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4ABD2064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4907EA2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4656F2AE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0A8D149" w14:textId="77777777" w:rsidR="00985785" w:rsidRDefault="00985785" w:rsidP="0098578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3771895A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19AF2581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6F3E773D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4A7153E6" w14:textId="77777777" w:rsidR="00985785" w:rsidRDefault="00985785" w:rsidP="0098578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78AC7864" w14:textId="77777777" w:rsidR="00985785" w:rsidRDefault="00985785" w:rsidP="00985785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B938C5E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367CA553" w14:textId="77777777" w:rsidR="00985785" w:rsidRDefault="00985785" w:rsidP="0098578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6DF3D50" w14:textId="77777777" w:rsidR="00985785" w:rsidRDefault="00985785" w:rsidP="00985785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1D400FF0" w14:textId="77777777" w:rsidR="00985785" w:rsidRDefault="00985785" w:rsidP="00985785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3DB036EA" w14:textId="77777777" w:rsidR="00985785" w:rsidRDefault="00985785" w:rsidP="00985785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C3788D9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989BE80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CCA1B85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5E3440" w14:textId="379DD390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0D076FD8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5A56DB" w14:textId="77777777" w:rsidR="00985785" w:rsidRDefault="00985785" w:rsidP="0098578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1C301E6" w14:textId="77777777" w:rsidR="00985785" w:rsidRDefault="00985785" w:rsidP="0098578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212CB597" w14:textId="77777777" w:rsidR="00985785" w:rsidRDefault="00985785" w:rsidP="0098578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4B3F1DF3" w14:textId="77777777" w:rsidR="00985785" w:rsidRDefault="00985785" w:rsidP="0098578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wireless system shall communicate using non-licensed 868 MHz (optionally 915 MHz or 2,4 GHz) radio frequency with a power output of no more than 20 mW,</w:t>
      </w:r>
    </w:p>
    <w:p w14:paraId="4F6CC0AD" w14:textId="77777777" w:rsidR="00985785" w:rsidRDefault="00985785" w:rsidP="00985785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1A289F0A" w14:textId="77777777" w:rsidR="00985785" w:rsidRDefault="00985785" w:rsidP="00985785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236A1595" w14:textId="77777777" w:rsidR="00985785" w:rsidRDefault="00985785" w:rsidP="00985785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7CAAB87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75232EEF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1CC7F4F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7D3CD688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1FF21A2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53BA1200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4517526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640802E7" w14:textId="77777777" w:rsidR="00985785" w:rsidRDefault="00985785" w:rsidP="0098578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2264386E" w:rsidR="0071169B" w:rsidRPr="00AE217D" w:rsidRDefault="00985785" w:rsidP="009857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96F5" w14:textId="77777777" w:rsidR="006F3BE5" w:rsidRDefault="006F3BE5">
      <w:pPr>
        <w:spacing w:after="0" w:line="240" w:lineRule="auto"/>
      </w:pPr>
      <w:r>
        <w:separator/>
      </w:r>
    </w:p>
  </w:endnote>
  <w:endnote w:type="continuationSeparator" w:id="0">
    <w:p w14:paraId="2321450D" w14:textId="77777777" w:rsidR="006F3BE5" w:rsidRDefault="006F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5D11" w14:textId="77777777" w:rsidR="006F3BE5" w:rsidRDefault="006F3BE5">
      <w:pPr>
        <w:spacing w:after="0" w:line="240" w:lineRule="auto"/>
      </w:pPr>
      <w:r>
        <w:separator/>
      </w:r>
    </w:p>
  </w:footnote>
  <w:footnote w:type="continuationSeparator" w:id="0">
    <w:p w14:paraId="3641B521" w14:textId="77777777" w:rsidR="006F3BE5" w:rsidRDefault="006F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48BBEE88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 w:rsidR="00DB0E0D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50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6A1796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1420B4"/>
    <w:rsid w:val="00181B69"/>
    <w:rsid w:val="00190DA3"/>
    <w:rsid w:val="001B0E41"/>
    <w:rsid w:val="001B60EB"/>
    <w:rsid w:val="001F43FB"/>
    <w:rsid w:val="001F4F95"/>
    <w:rsid w:val="0025097D"/>
    <w:rsid w:val="0025463D"/>
    <w:rsid w:val="002A1392"/>
    <w:rsid w:val="00300A9E"/>
    <w:rsid w:val="00315C60"/>
    <w:rsid w:val="00327470"/>
    <w:rsid w:val="003411C0"/>
    <w:rsid w:val="003A7133"/>
    <w:rsid w:val="00446A3C"/>
    <w:rsid w:val="00475A69"/>
    <w:rsid w:val="004C602D"/>
    <w:rsid w:val="004C7A63"/>
    <w:rsid w:val="004D0BDD"/>
    <w:rsid w:val="004D63CE"/>
    <w:rsid w:val="004F44BE"/>
    <w:rsid w:val="00526CA2"/>
    <w:rsid w:val="005C0DD6"/>
    <w:rsid w:val="005F7773"/>
    <w:rsid w:val="0060477F"/>
    <w:rsid w:val="006219F9"/>
    <w:rsid w:val="006A1796"/>
    <w:rsid w:val="006D49DD"/>
    <w:rsid w:val="006F3BE5"/>
    <w:rsid w:val="006F59CF"/>
    <w:rsid w:val="0071169B"/>
    <w:rsid w:val="00721B03"/>
    <w:rsid w:val="007409E4"/>
    <w:rsid w:val="00747FAF"/>
    <w:rsid w:val="00775AF1"/>
    <w:rsid w:val="007A52B6"/>
    <w:rsid w:val="007B4F73"/>
    <w:rsid w:val="007E67E5"/>
    <w:rsid w:val="0080336C"/>
    <w:rsid w:val="00804B56"/>
    <w:rsid w:val="00814FBE"/>
    <w:rsid w:val="00871D06"/>
    <w:rsid w:val="008C4782"/>
    <w:rsid w:val="008D7A5A"/>
    <w:rsid w:val="00912FB5"/>
    <w:rsid w:val="00937DC6"/>
    <w:rsid w:val="00972234"/>
    <w:rsid w:val="009826A1"/>
    <w:rsid w:val="00985785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C3584C"/>
    <w:rsid w:val="00C9204D"/>
    <w:rsid w:val="00D20693"/>
    <w:rsid w:val="00D41513"/>
    <w:rsid w:val="00D64834"/>
    <w:rsid w:val="00D808F7"/>
    <w:rsid w:val="00D842B1"/>
    <w:rsid w:val="00DB0E0D"/>
    <w:rsid w:val="00DD530E"/>
    <w:rsid w:val="00DE132A"/>
    <w:rsid w:val="00E16C75"/>
    <w:rsid w:val="00E21A56"/>
    <w:rsid w:val="00E2337A"/>
    <w:rsid w:val="00E34A57"/>
    <w:rsid w:val="00E9370C"/>
    <w:rsid w:val="00E9700C"/>
    <w:rsid w:val="00EA4165"/>
    <w:rsid w:val="00EA5B49"/>
    <w:rsid w:val="00EC7DBE"/>
    <w:rsid w:val="00F278C5"/>
    <w:rsid w:val="00F301D3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1236</Words>
  <Characters>6638</Characters>
  <Application>Microsoft Office Word</Application>
  <DocSecurity>0</DocSecurity>
  <Lines>179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6</cp:revision>
  <dcterms:created xsi:type="dcterms:W3CDTF">2025-04-24T11:51:00Z</dcterms:created>
  <dcterms:modified xsi:type="dcterms:W3CDTF">2025-08-28T14:29:00Z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